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9B935" w14:textId="77777777" w:rsidR="00C82F26" w:rsidRPr="000779FA" w:rsidRDefault="00C82F26" w:rsidP="00D828EC">
      <w:pPr>
        <w:rPr>
          <w:sz w:val="22"/>
          <w:szCs w:val="22"/>
        </w:rPr>
      </w:pPr>
      <w:r>
        <w:rPr>
          <w:noProof/>
        </w:rPr>
        <w:drawing>
          <wp:inline distT="0" distB="0" distL="0" distR="0" wp14:anchorId="283D03C2" wp14:editId="47C5F47B">
            <wp:extent cx="847725" cy="723900"/>
            <wp:effectExtent l="0" t="0" r="0" b="0"/>
            <wp:docPr id="2" name="Picture 2" descr="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723900"/>
                    </a:xfrm>
                    <a:prstGeom prst="rect">
                      <a:avLst/>
                    </a:prstGeom>
                    <a:noFill/>
                    <a:ln>
                      <a:noFill/>
                    </a:ln>
                  </pic:spPr>
                </pic:pic>
              </a:graphicData>
            </a:graphic>
          </wp:inline>
        </w:drawing>
      </w:r>
      <w:r>
        <w:t xml:space="preserve">                    </w:t>
      </w:r>
      <w:r w:rsidRPr="00D76D3F">
        <w:t xml:space="preserve"> </w:t>
      </w:r>
      <w:r w:rsidRPr="000779FA">
        <w:rPr>
          <w:sz w:val="22"/>
          <w:szCs w:val="22"/>
        </w:rPr>
        <w:t>ILLINOIS INSTITUTE OF TECHNOLOGY</w:t>
      </w:r>
    </w:p>
    <w:p w14:paraId="33630AF5" w14:textId="77777777" w:rsidR="00C82F26" w:rsidRPr="000779FA" w:rsidRDefault="00C82F26" w:rsidP="00D828EC">
      <w:pPr>
        <w:rPr>
          <w:sz w:val="22"/>
          <w:szCs w:val="22"/>
        </w:rPr>
      </w:pPr>
      <w:r w:rsidRPr="000779FA">
        <w:rPr>
          <w:sz w:val="22"/>
          <w:szCs w:val="22"/>
        </w:rPr>
        <w:tab/>
        <w:t>INSTITUTIONAL ANIMAL CARE AND USE COMMITTEE (IACUC)</w:t>
      </w:r>
    </w:p>
    <w:p w14:paraId="79A837A3" w14:textId="3A6F4885" w:rsidR="00C82F26" w:rsidRPr="00BF526A" w:rsidRDefault="00C82F26" w:rsidP="00D828EC">
      <w:pPr>
        <w:ind w:left="2160" w:firstLine="720"/>
        <w:rPr>
          <w:i/>
          <w:sz w:val="22"/>
          <w:szCs w:val="22"/>
        </w:rPr>
      </w:pPr>
      <w:r w:rsidRPr="000779FA">
        <w:rPr>
          <w:i/>
          <w:sz w:val="22"/>
          <w:szCs w:val="22"/>
        </w:rPr>
        <w:t xml:space="preserve">  </w:t>
      </w:r>
    </w:p>
    <w:p w14:paraId="456B51DD" w14:textId="77777777" w:rsidR="00C82F26" w:rsidRDefault="00C82F26" w:rsidP="00D828EC">
      <w:pPr>
        <w:tabs>
          <w:tab w:val="left" w:pos="-1080"/>
          <w:tab w:val="left" w:pos="-720"/>
          <w:tab w:val="left" w:pos="0"/>
          <w:tab w:val="left" w:pos="432"/>
          <w:tab w:val="left" w:pos="864"/>
          <w:tab w:val="left" w:pos="2520"/>
          <w:tab w:val="left" w:pos="3427"/>
          <w:tab w:val="left" w:pos="8640"/>
          <w:tab w:val="left" w:pos="8820"/>
          <w:tab w:val="left" w:pos="9360"/>
        </w:tabs>
        <w:rPr>
          <w:sz w:val="22"/>
          <w:szCs w:val="22"/>
        </w:rPr>
      </w:pPr>
    </w:p>
    <w:p w14:paraId="4130699F" w14:textId="77777777" w:rsidR="00C82F26" w:rsidRPr="00865764" w:rsidRDefault="00C82F26" w:rsidP="00AF168D">
      <w:pPr>
        <w:tabs>
          <w:tab w:val="left" w:pos="-1080"/>
          <w:tab w:val="left" w:pos="-720"/>
          <w:tab w:val="left" w:pos="0"/>
          <w:tab w:val="left" w:pos="432"/>
          <w:tab w:val="left" w:pos="864"/>
          <w:tab w:val="left" w:pos="2520"/>
          <w:tab w:val="left" w:pos="3427"/>
          <w:tab w:val="left" w:pos="8640"/>
          <w:tab w:val="left" w:pos="8820"/>
          <w:tab w:val="left" w:pos="9360"/>
        </w:tabs>
        <w:jc w:val="center"/>
        <w:rPr>
          <w:szCs w:val="22"/>
        </w:rPr>
      </w:pPr>
      <w:r w:rsidRPr="00865764">
        <w:rPr>
          <w:szCs w:val="22"/>
        </w:rPr>
        <w:t xml:space="preserve">Animal Procurement and </w:t>
      </w:r>
      <w:r w:rsidRPr="00D828EC">
        <w:rPr>
          <w:szCs w:val="22"/>
        </w:rPr>
        <w:t>Transportation</w:t>
      </w:r>
      <w:r w:rsidRPr="00865764">
        <w:rPr>
          <w:szCs w:val="22"/>
        </w:rPr>
        <w:t xml:space="preserve"> Policy</w:t>
      </w:r>
    </w:p>
    <w:p w14:paraId="7950C689" w14:textId="77777777" w:rsidR="00C82F26" w:rsidRPr="00865764" w:rsidRDefault="00C82F26"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p>
    <w:p w14:paraId="5865DC6D" w14:textId="1D9BCCAC" w:rsidR="00E15061" w:rsidRDefault="00B27A74"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r w:rsidRPr="00B27A74">
        <w:rPr>
          <w:szCs w:val="22"/>
        </w:rPr>
        <w:t>The veterinary medical care of laboratory research animals is federally mandated</w:t>
      </w:r>
      <w:r w:rsidR="00CB0D1C">
        <w:rPr>
          <w:szCs w:val="22"/>
        </w:rPr>
        <w:t>, regardless of funding type.</w:t>
      </w:r>
      <w:r w:rsidRPr="00B27A74">
        <w:rPr>
          <w:szCs w:val="22"/>
        </w:rPr>
        <w:t xml:space="preserve"> All animals must be acquired lawfully, and the receiving institution </w:t>
      </w:r>
      <w:r w:rsidR="005F193F">
        <w:rPr>
          <w:szCs w:val="22"/>
        </w:rPr>
        <w:t xml:space="preserve">is </w:t>
      </w:r>
      <w:r w:rsidR="00CB0D1C">
        <w:rPr>
          <w:szCs w:val="22"/>
        </w:rPr>
        <w:t xml:space="preserve">required </w:t>
      </w:r>
      <w:r w:rsidRPr="00B27A74">
        <w:rPr>
          <w:szCs w:val="22"/>
        </w:rPr>
        <w:t>to ensure that all transactions involving animal procurement are conducted in a lawful manner. (The Guide, 8th edition, p. 106.</w:t>
      </w:r>
      <w:r w:rsidR="00E15061" w:rsidRPr="00E15061">
        <w:t xml:space="preserve"> </w:t>
      </w:r>
      <w:r w:rsidR="00E15061">
        <w:t>(</w:t>
      </w:r>
      <w:hyperlink r:id="rId8" w:history="1">
        <w:r w:rsidR="00E15061" w:rsidRPr="0026241A">
          <w:rPr>
            <w:rStyle w:val="Hyperlink"/>
            <w:szCs w:val="22"/>
          </w:rPr>
          <w:t>https://grants.nih.gov/grants/olaw/guide-for-the-care-and-use-of-laboratory-animals.pdf</w:t>
        </w:r>
      </w:hyperlink>
      <w:r w:rsidR="00E15061" w:rsidRPr="0026241A">
        <w:rPr>
          <w:szCs w:val="22"/>
        </w:rPr>
        <w:t xml:space="preserve">). </w:t>
      </w:r>
    </w:p>
    <w:p w14:paraId="74EB9F11" w14:textId="77777777" w:rsidR="00674BE3" w:rsidRDefault="00674BE3"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p>
    <w:p w14:paraId="762204D0" w14:textId="1446A318" w:rsidR="006E66CF" w:rsidRDefault="006E66CF"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r w:rsidRPr="00865764">
        <w:rPr>
          <w:szCs w:val="22"/>
        </w:rPr>
        <w:t>The</w:t>
      </w:r>
      <w:r w:rsidR="00CB0D1C">
        <w:rPr>
          <w:szCs w:val="22"/>
        </w:rPr>
        <w:t xml:space="preserve"> Institutional Animal Care and Use Committee (</w:t>
      </w:r>
      <w:r w:rsidRPr="00865764">
        <w:rPr>
          <w:szCs w:val="22"/>
        </w:rPr>
        <w:t>IACUC</w:t>
      </w:r>
      <w:r w:rsidR="00CB0D1C">
        <w:rPr>
          <w:szCs w:val="22"/>
        </w:rPr>
        <w:t>)</w:t>
      </w:r>
      <w:r w:rsidRPr="00865764">
        <w:rPr>
          <w:szCs w:val="22"/>
        </w:rPr>
        <w:t xml:space="preserve"> at Illinois Institute of Technology (IIT) </w:t>
      </w:r>
      <w:r>
        <w:rPr>
          <w:szCs w:val="22"/>
        </w:rPr>
        <w:t>bears overall responsibility for oversight of the animal research programs</w:t>
      </w:r>
      <w:r w:rsidRPr="00865764">
        <w:rPr>
          <w:szCs w:val="22"/>
        </w:rPr>
        <w:t xml:space="preserve">. As such, the IACUC expects all animal researchers </w:t>
      </w:r>
      <w:r w:rsidR="00CB0D1C">
        <w:rPr>
          <w:szCs w:val="22"/>
        </w:rPr>
        <w:t xml:space="preserve">and animal research laboratories </w:t>
      </w:r>
      <w:r w:rsidRPr="00865764">
        <w:rPr>
          <w:szCs w:val="22"/>
        </w:rPr>
        <w:t>to follow appropriate procurement and transportation procedures when conducting animal research.</w:t>
      </w:r>
      <w:r>
        <w:rPr>
          <w:szCs w:val="22"/>
        </w:rPr>
        <w:t xml:space="preserve"> This policy shall apply to all animal researchers whose animals are housed in </w:t>
      </w:r>
      <w:r w:rsidR="005F193F">
        <w:rPr>
          <w:szCs w:val="22"/>
        </w:rPr>
        <w:t xml:space="preserve">any IIT animal facility approved by </w:t>
      </w:r>
      <w:r w:rsidR="00CB0D1C">
        <w:rPr>
          <w:szCs w:val="22"/>
        </w:rPr>
        <w:t>IACUC</w:t>
      </w:r>
      <w:r w:rsidR="005F193F">
        <w:rPr>
          <w:szCs w:val="22"/>
        </w:rPr>
        <w:t>.</w:t>
      </w:r>
      <w:r w:rsidR="00CB0D1C">
        <w:rPr>
          <w:szCs w:val="22"/>
        </w:rPr>
        <w:t xml:space="preserve"> </w:t>
      </w:r>
    </w:p>
    <w:p w14:paraId="44E7A2F5" w14:textId="77777777" w:rsidR="00AA09FF" w:rsidRDefault="00AA09FF"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p>
    <w:p w14:paraId="0DB685FD" w14:textId="10EB220B" w:rsidR="006E66CF" w:rsidRDefault="00AA09FF" w:rsidP="00D828EC">
      <w:pPr>
        <w:pStyle w:val="ListParagraph"/>
        <w:numPr>
          <w:ilvl w:val="0"/>
          <w:numId w:val="8"/>
        </w:numPr>
        <w:tabs>
          <w:tab w:val="left" w:pos="-1080"/>
          <w:tab w:val="left" w:pos="-720"/>
          <w:tab w:val="left" w:pos="0"/>
          <w:tab w:val="left" w:pos="432"/>
          <w:tab w:val="left" w:pos="864"/>
          <w:tab w:val="left" w:pos="2520"/>
          <w:tab w:val="left" w:pos="3427"/>
          <w:tab w:val="left" w:pos="8640"/>
          <w:tab w:val="left" w:pos="8820"/>
          <w:tab w:val="left" w:pos="9360"/>
        </w:tabs>
        <w:rPr>
          <w:szCs w:val="22"/>
        </w:rPr>
      </w:pPr>
      <w:r w:rsidRPr="00AA09FF">
        <w:rPr>
          <w:szCs w:val="22"/>
        </w:rPr>
        <w:t>Animals must be ordered from approved vendors</w:t>
      </w:r>
      <w:r w:rsidR="00D828EC">
        <w:rPr>
          <w:szCs w:val="22"/>
        </w:rPr>
        <w:t xml:space="preserve">. </w:t>
      </w:r>
      <w:r w:rsidRPr="00AA09FF">
        <w:rPr>
          <w:szCs w:val="22"/>
        </w:rPr>
        <w:t>Procurement of animals is</w:t>
      </w:r>
      <w:r w:rsidR="00CB0D1C">
        <w:rPr>
          <w:szCs w:val="22"/>
        </w:rPr>
        <w:t xml:space="preserve"> only</w:t>
      </w:r>
      <w:r w:rsidRPr="00AA09FF">
        <w:rPr>
          <w:szCs w:val="22"/>
        </w:rPr>
        <w:t xml:space="preserve"> permitted after the appropriate IACUC protocol has been approved. </w:t>
      </w:r>
    </w:p>
    <w:p w14:paraId="2B6B7126" w14:textId="77777777" w:rsidR="00AA09FF" w:rsidRPr="00AA09FF" w:rsidRDefault="00AA09FF" w:rsidP="00D828EC">
      <w:pPr>
        <w:pStyle w:val="ListParagraph"/>
        <w:tabs>
          <w:tab w:val="left" w:pos="-1080"/>
          <w:tab w:val="left" w:pos="-720"/>
          <w:tab w:val="left" w:pos="0"/>
          <w:tab w:val="left" w:pos="432"/>
          <w:tab w:val="left" w:pos="864"/>
          <w:tab w:val="left" w:pos="2520"/>
          <w:tab w:val="left" w:pos="3427"/>
          <w:tab w:val="left" w:pos="8640"/>
          <w:tab w:val="left" w:pos="8820"/>
          <w:tab w:val="left" w:pos="9360"/>
        </w:tabs>
        <w:rPr>
          <w:szCs w:val="22"/>
        </w:rPr>
      </w:pPr>
    </w:p>
    <w:p w14:paraId="02171FCA" w14:textId="72AA5B5F" w:rsidR="0036260B" w:rsidRDefault="0026241A" w:rsidP="0036260B">
      <w:pPr>
        <w:pStyle w:val="ListParagraph"/>
        <w:numPr>
          <w:ilvl w:val="0"/>
          <w:numId w:val="8"/>
        </w:numPr>
        <w:tabs>
          <w:tab w:val="left" w:pos="-1080"/>
          <w:tab w:val="left" w:pos="-720"/>
          <w:tab w:val="left" w:pos="0"/>
          <w:tab w:val="left" w:pos="432"/>
          <w:tab w:val="left" w:pos="864"/>
          <w:tab w:val="left" w:pos="2520"/>
          <w:tab w:val="left" w:pos="3427"/>
          <w:tab w:val="left" w:pos="8640"/>
          <w:tab w:val="left" w:pos="8820"/>
          <w:tab w:val="left" w:pos="9360"/>
        </w:tabs>
        <w:rPr>
          <w:szCs w:val="22"/>
        </w:rPr>
      </w:pPr>
      <w:r w:rsidRPr="0026241A">
        <w:rPr>
          <w:szCs w:val="22"/>
        </w:rPr>
        <w:t>Prior to purchasing or transporting any animal into the shared housing facility, a researcher must notify the IACUC. The advance notice</w:t>
      </w:r>
      <w:r w:rsidR="00E15061">
        <w:rPr>
          <w:szCs w:val="22"/>
        </w:rPr>
        <w:t xml:space="preserve">/request </w:t>
      </w:r>
      <w:r w:rsidRPr="0026241A">
        <w:rPr>
          <w:szCs w:val="22"/>
        </w:rPr>
        <w:t>must include the researcher’s name, the approved protocol number, the total number and type of animals, and any additional special care or instructions.</w:t>
      </w:r>
      <w:r w:rsidR="00E15061">
        <w:rPr>
          <w:szCs w:val="22"/>
        </w:rPr>
        <w:t xml:space="preserve"> </w:t>
      </w:r>
      <w:r w:rsidR="00E15061" w:rsidRPr="00E15061">
        <w:rPr>
          <w:szCs w:val="22"/>
        </w:rPr>
        <w:t xml:space="preserve">The notice must be sent to the </w:t>
      </w:r>
      <w:hyperlink r:id="rId9" w:history="1">
        <w:r w:rsidR="00E15061" w:rsidRPr="00E15061">
          <w:rPr>
            <w:rStyle w:val="Hyperlink"/>
            <w:color w:val="auto"/>
            <w:szCs w:val="22"/>
            <w:u w:val="none"/>
          </w:rPr>
          <w:t>iacuc@illinoistech.edu</w:t>
        </w:r>
      </w:hyperlink>
      <w:r w:rsidR="00E15061" w:rsidRPr="00E15061">
        <w:rPr>
          <w:szCs w:val="22"/>
        </w:rPr>
        <w:t xml:space="preserve"> email. </w:t>
      </w:r>
      <w:r w:rsidR="0036260B">
        <w:rPr>
          <w:szCs w:val="22"/>
        </w:rPr>
        <w:t xml:space="preserve"> The manager of the ERB rodent housing facility should be copied on this email (</w:t>
      </w:r>
      <w:hyperlink r:id="rId10" w:history="1">
        <w:r w:rsidR="00AF168D" w:rsidRPr="004B1016">
          <w:rPr>
            <w:rStyle w:val="Hyperlink"/>
            <w:szCs w:val="22"/>
          </w:rPr>
          <w:t>ktuz@iilinoistech.edu</w:t>
        </w:r>
      </w:hyperlink>
      <w:r w:rsidR="00AF168D">
        <w:rPr>
          <w:szCs w:val="22"/>
        </w:rPr>
        <w:t>)</w:t>
      </w:r>
      <w:r w:rsidR="0036260B">
        <w:rPr>
          <w:szCs w:val="22"/>
        </w:rPr>
        <w:t>.</w:t>
      </w:r>
    </w:p>
    <w:p w14:paraId="0C8052B0" w14:textId="77777777" w:rsidR="00AF168D" w:rsidRPr="00AF168D" w:rsidRDefault="00AF168D" w:rsidP="00AF168D">
      <w:pPr>
        <w:pStyle w:val="ListParagraph"/>
        <w:rPr>
          <w:szCs w:val="22"/>
        </w:rPr>
      </w:pPr>
    </w:p>
    <w:p w14:paraId="229EEFFD" w14:textId="1A168267" w:rsidR="00C13AAD" w:rsidRPr="00D828EC" w:rsidRDefault="00C13AAD" w:rsidP="00D828EC">
      <w:pPr>
        <w:pStyle w:val="ListParagraph"/>
        <w:numPr>
          <w:ilvl w:val="0"/>
          <w:numId w:val="8"/>
        </w:numPr>
        <w:tabs>
          <w:tab w:val="left" w:pos="-1080"/>
          <w:tab w:val="left" w:pos="-720"/>
          <w:tab w:val="left" w:pos="0"/>
          <w:tab w:val="left" w:pos="432"/>
          <w:tab w:val="left" w:pos="864"/>
          <w:tab w:val="left" w:pos="1260"/>
          <w:tab w:val="left" w:pos="2520"/>
          <w:tab w:val="left" w:pos="3427"/>
          <w:tab w:val="left" w:pos="8640"/>
          <w:tab w:val="left" w:pos="8820"/>
          <w:tab w:val="left" w:pos="9360"/>
        </w:tabs>
        <w:rPr>
          <w:szCs w:val="22"/>
        </w:rPr>
      </w:pPr>
      <w:r w:rsidRPr="00D828EC">
        <w:rPr>
          <w:szCs w:val="22"/>
        </w:rPr>
        <w:t>In the case of animals being shipped from collaborating institutions, a memorandum of understanding between the ins</w:t>
      </w:r>
      <w:r w:rsidR="00365E59" w:rsidRPr="00D828EC">
        <w:rPr>
          <w:szCs w:val="22"/>
        </w:rPr>
        <w:t>t</w:t>
      </w:r>
      <w:r w:rsidRPr="00D828EC">
        <w:rPr>
          <w:szCs w:val="22"/>
        </w:rPr>
        <w:t xml:space="preserve">itutions must be in place. In some cases this will be initiated by the collaborating institution, in other cases this will be initiated by IIT using the </w:t>
      </w:r>
      <w:r w:rsidR="00D828EC">
        <w:rPr>
          <w:szCs w:val="22"/>
        </w:rPr>
        <w:t>“</w:t>
      </w:r>
      <w:hyperlink r:id="rId11" w:history="1">
        <w:r w:rsidRPr="00D828EC">
          <w:rPr>
            <w:rStyle w:val="Hyperlink"/>
            <w:color w:val="auto"/>
            <w:u w:val="none"/>
          </w:rPr>
          <w:t xml:space="preserve">MOU Template for Incoming Animals </w:t>
        </w:r>
        <w:r w:rsidR="00D828EC" w:rsidRPr="00D828EC">
          <w:rPr>
            <w:rStyle w:val="Hyperlink"/>
            <w:color w:val="auto"/>
            <w:u w:val="none"/>
          </w:rPr>
          <w:t>f</w:t>
        </w:r>
        <w:r w:rsidRPr="00D828EC">
          <w:rPr>
            <w:rStyle w:val="Hyperlink"/>
            <w:color w:val="auto"/>
            <w:u w:val="none"/>
          </w:rPr>
          <w:t>rom Collaborating Institution</w:t>
        </w:r>
      </w:hyperlink>
      <w:r w:rsidRPr="00D828EC">
        <w:t>s</w:t>
      </w:r>
      <w:r w:rsidR="00D828EC">
        <w:t>” form.</w:t>
      </w:r>
    </w:p>
    <w:p w14:paraId="3B7DF643" w14:textId="77777777" w:rsidR="00B341AE" w:rsidRPr="00B341AE" w:rsidRDefault="00B341AE" w:rsidP="00D828EC">
      <w:pPr>
        <w:pStyle w:val="ListParagraph"/>
        <w:rPr>
          <w:szCs w:val="22"/>
        </w:rPr>
      </w:pPr>
    </w:p>
    <w:p w14:paraId="4000B65F" w14:textId="0EFB4D9A" w:rsidR="00C13AAD" w:rsidRPr="00D828EC" w:rsidRDefault="0026241A" w:rsidP="00D828EC">
      <w:pPr>
        <w:pStyle w:val="ListParagraph"/>
        <w:numPr>
          <w:ilvl w:val="0"/>
          <w:numId w:val="8"/>
        </w:numPr>
      </w:pPr>
      <w:r w:rsidRPr="00674BE3">
        <w:rPr>
          <w:szCs w:val="22"/>
        </w:rPr>
        <w:t>The IACUC will review animal purchasing and transportation requests to confirm compliance with the approved IACUC protocol.</w:t>
      </w:r>
      <w:r w:rsidR="00B341AE" w:rsidRPr="00674BE3">
        <w:rPr>
          <w:szCs w:val="22"/>
        </w:rPr>
        <w:t xml:space="preserve"> </w:t>
      </w:r>
    </w:p>
    <w:p w14:paraId="2E22479C" w14:textId="77777777" w:rsidR="00C13AAD" w:rsidRDefault="00C13AAD" w:rsidP="00D828EC">
      <w:pPr>
        <w:ind w:left="360"/>
      </w:pPr>
    </w:p>
    <w:p w14:paraId="6F966234" w14:textId="416631BD" w:rsidR="00674BE3" w:rsidRDefault="00C13AAD" w:rsidP="00D828EC">
      <w:pPr>
        <w:pStyle w:val="ListParagraph"/>
        <w:numPr>
          <w:ilvl w:val="0"/>
          <w:numId w:val="8"/>
        </w:numPr>
      </w:pPr>
      <w:r>
        <w:t xml:space="preserve">Prior to any shipments </w:t>
      </w:r>
      <w:r w:rsidR="00365E59">
        <w:t xml:space="preserve">of animals </w:t>
      </w:r>
      <w:r>
        <w:t xml:space="preserve">from collaborating institutions, a health status report </w:t>
      </w:r>
      <w:r w:rsidR="0036260B">
        <w:t>(</w:t>
      </w:r>
      <w:r w:rsidR="00AF168D">
        <w:t>m</w:t>
      </w:r>
      <w:r w:rsidR="0036260B">
        <w:t xml:space="preserve">ost recent health records) </w:t>
      </w:r>
      <w:r>
        <w:t xml:space="preserve">needs to be provided by the </w:t>
      </w:r>
      <w:r w:rsidR="00365E59">
        <w:t>shipper's</w:t>
      </w:r>
      <w:r>
        <w:t xml:space="preserve"> animal facility and reviewed by IIT's attending veterinarian.</w:t>
      </w:r>
    </w:p>
    <w:p w14:paraId="0CFD2E45" w14:textId="77777777" w:rsidR="00D828EC" w:rsidRDefault="00D828EC" w:rsidP="00D828EC">
      <w:pPr>
        <w:pStyle w:val="ListParagraph"/>
      </w:pPr>
    </w:p>
    <w:p w14:paraId="10938737" w14:textId="09692779" w:rsidR="00B10683" w:rsidRDefault="00B10683" w:rsidP="00D828EC">
      <w:pPr>
        <w:pStyle w:val="ListParagraph"/>
        <w:numPr>
          <w:ilvl w:val="0"/>
          <w:numId w:val="8"/>
        </w:numPr>
      </w:pPr>
      <w:r>
        <w:t xml:space="preserve">The animals are procured through </w:t>
      </w:r>
      <w:proofErr w:type="spellStart"/>
      <w:r>
        <w:t>BuyIt</w:t>
      </w:r>
      <w:proofErr w:type="spellEnd"/>
      <w:r>
        <w:t xml:space="preserve">. The approved protocol number must be </w:t>
      </w:r>
      <w:r w:rsidR="00151054">
        <w:t xml:space="preserve">provided in </w:t>
      </w:r>
      <w:r>
        <w:t xml:space="preserve">the purchase order. </w:t>
      </w:r>
      <w:r w:rsidR="007533B6">
        <w:t xml:space="preserve">In the case of shipments from collaborating </w:t>
      </w:r>
      <w:r w:rsidR="007533B6">
        <w:lastRenderedPageBreak/>
        <w:t xml:space="preserve">institutions, the relevant institution is set up as a dummy vendor in </w:t>
      </w:r>
      <w:proofErr w:type="spellStart"/>
      <w:r w:rsidR="007533B6">
        <w:t>BuyIt</w:t>
      </w:r>
      <w:proofErr w:type="spellEnd"/>
      <w:r w:rsidR="007533B6">
        <w:t xml:space="preserve"> so that animals can be tracked in the same way</w:t>
      </w:r>
      <w:r w:rsidR="00365E59">
        <w:t xml:space="preserve"> as those from commercial vendors.</w:t>
      </w:r>
    </w:p>
    <w:p w14:paraId="109C8334" w14:textId="77777777" w:rsidR="0056579D" w:rsidRPr="000035CB" w:rsidRDefault="0056579D" w:rsidP="00D828EC">
      <w:pPr>
        <w:pStyle w:val="ListParagraph"/>
      </w:pPr>
    </w:p>
    <w:p w14:paraId="229BE011" w14:textId="5873CAE1" w:rsidR="00151054" w:rsidRDefault="006E66CF" w:rsidP="00D828EC">
      <w:pPr>
        <w:pStyle w:val="ListParagraph"/>
        <w:numPr>
          <w:ilvl w:val="0"/>
          <w:numId w:val="8"/>
        </w:numPr>
        <w:tabs>
          <w:tab w:val="left" w:pos="-1080"/>
          <w:tab w:val="left" w:pos="-720"/>
          <w:tab w:val="left" w:pos="0"/>
          <w:tab w:val="left" w:pos="432"/>
          <w:tab w:val="left" w:pos="864"/>
          <w:tab w:val="left" w:pos="2520"/>
          <w:tab w:val="left" w:pos="3427"/>
          <w:tab w:val="left" w:pos="8640"/>
          <w:tab w:val="left" w:pos="8820"/>
          <w:tab w:val="left" w:pos="9360"/>
        </w:tabs>
      </w:pPr>
      <w:r w:rsidRPr="0026241A">
        <w:rPr>
          <w:szCs w:val="22"/>
        </w:rPr>
        <w:t xml:space="preserve">When animals arrive at the shared animal housing facility, </w:t>
      </w:r>
      <w:r w:rsidR="0056579D" w:rsidRPr="0026241A">
        <w:rPr>
          <w:szCs w:val="22"/>
        </w:rPr>
        <w:t xml:space="preserve">the principal investigator </w:t>
      </w:r>
      <w:r w:rsidR="001C773C" w:rsidRPr="0026241A">
        <w:rPr>
          <w:szCs w:val="22"/>
        </w:rPr>
        <w:t xml:space="preserve">must keep </w:t>
      </w:r>
      <w:r w:rsidR="0056579D" w:rsidRPr="0026241A">
        <w:rPr>
          <w:szCs w:val="22"/>
        </w:rPr>
        <w:t xml:space="preserve">records </w:t>
      </w:r>
      <w:r w:rsidR="00674BE3">
        <w:rPr>
          <w:szCs w:val="22"/>
        </w:rPr>
        <w:t xml:space="preserve">of </w:t>
      </w:r>
      <w:r w:rsidRPr="0026241A">
        <w:rPr>
          <w:szCs w:val="22"/>
        </w:rPr>
        <w:t>the numbers of each strain of each species</w:t>
      </w:r>
      <w:r w:rsidR="001C773C" w:rsidRPr="0026241A">
        <w:rPr>
          <w:szCs w:val="22"/>
        </w:rPr>
        <w:t xml:space="preserve">, </w:t>
      </w:r>
      <w:r w:rsidR="00A377E7" w:rsidRPr="004F354E">
        <w:t>census data</w:t>
      </w:r>
      <w:r w:rsidR="00E15061">
        <w:t>,</w:t>
      </w:r>
      <w:r w:rsidR="00C25026">
        <w:t xml:space="preserve"> animal disposal</w:t>
      </w:r>
      <w:r w:rsidR="00E15061">
        <w:t xml:space="preserve">, </w:t>
      </w:r>
      <w:r w:rsidR="00674BE3">
        <w:t>etc</w:t>
      </w:r>
      <w:r w:rsidR="00E15061">
        <w:t xml:space="preserve">. </w:t>
      </w:r>
    </w:p>
    <w:p w14:paraId="759A5C56" w14:textId="77777777" w:rsidR="000901D7" w:rsidRDefault="000901D7" w:rsidP="00D828EC">
      <w:pPr>
        <w:tabs>
          <w:tab w:val="left" w:pos="-1080"/>
          <w:tab w:val="left" w:pos="-720"/>
          <w:tab w:val="left" w:pos="0"/>
          <w:tab w:val="left" w:pos="432"/>
          <w:tab w:val="left" w:pos="864"/>
          <w:tab w:val="left" w:pos="2520"/>
          <w:tab w:val="left" w:pos="3427"/>
          <w:tab w:val="left" w:pos="8640"/>
          <w:tab w:val="left" w:pos="8820"/>
          <w:tab w:val="left" w:pos="9360"/>
        </w:tabs>
        <w:ind w:left="360"/>
      </w:pPr>
    </w:p>
    <w:p w14:paraId="234D809E" w14:textId="050B5302" w:rsidR="00C25026" w:rsidRPr="004F354E" w:rsidRDefault="0026241A" w:rsidP="00D828EC">
      <w:pPr>
        <w:pStyle w:val="ListParagraph"/>
        <w:numPr>
          <w:ilvl w:val="0"/>
          <w:numId w:val="8"/>
        </w:numPr>
        <w:tabs>
          <w:tab w:val="left" w:pos="-1080"/>
          <w:tab w:val="left" w:pos="-720"/>
          <w:tab w:val="left" w:pos="0"/>
          <w:tab w:val="left" w:pos="432"/>
          <w:tab w:val="left" w:pos="864"/>
          <w:tab w:val="left" w:pos="2520"/>
          <w:tab w:val="left" w:pos="3427"/>
          <w:tab w:val="left" w:pos="8640"/>
          <w:tab w:val="left" w:pos="8820"/>
          <w:tab w:val="left" w:pos="9360"/>
        </w:tabs>
      </w:pPr>
      <w:r>
        <w:t xml:space="preserve"> </w:t>
      </w:r>
      <w:r w:rsidR="00C25026" w:rsidRPr="00A90346">
        <w:t>The Guide states on page 88: “records should be kept concerning feeding information, non-expired food supplies to ensure sustenance of nutritional profile, and any live cultures. Records of water quality testing for system and source water and maintenance activities of the life support system components are important for tracking and ensuring water quality.”</w:t>
      </w:r>
      <w:r w:rsidRPr="00A90346">
        <w:t xml:space="preserve"> (</w:t>
      </w:r>
      <w:hyperlink r:id="rId12" w:history="1">
        <w:r w:rsidRPr="00A90346">
          <w:rPr>
            <w:rStyle w:val="Hyperlink"/>
            <w:szCs w:val="22"/>
          </w:rPr>
          <w:t>https://grants.nih.gov/grants/olaw/guide-for-the-care-and-use-of-laboratory-animals.pdf</w:t>
        </w:r>
      </w:hyperlink>
      <w:r w:rsidRPr="00A90346">
        <w:rPr>
          <w:szCs w:val="22"/>
        </w:rPr>
        <w:t xml:space="preserve">). </w:t>
      </w:r>
      <w:r w:rsidR="00C25026" w:rsidRPr="00A90346">
        <w:t xml:space="preserve">The records must be available to the laboratory inspectors at any </w:t>
      </w:r>
      <w:r w:rsidR="00C25026" w:rsidRPr="00365E59">
        <w:t>point.</w:t>
      </w:r>
      <w:r w:rsidR="00C25026">
        <w:t xml:space="preserve"> </w:t>
      </w:r>
      <w:r w:rsidR="007B48A9">
        <w:t xml:space="preserve"> In the case of the shared rodent housing facility in the ERB, these records will be kept by the facility manager. In case of satellite animal facilities for other species, e.g. zebrafish, records need to be maintained by the PI of the laboratory hosting the satellite animal facility.</w:t>
      </w:r>
    </w:p>
    <w:p w14:paraId="77ACF7E7" w14:textId="77777777" w:rsidR="00B27A74" w:rsidRDefault="00B27A74"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p>
    <w:p w14:paraId="6D303045" w14:textId="77777777" w:rsidR="00E76EB2" w:rsidRDefault="00E76EB2"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r w:rsidRPr="00E76EB2">
        <w:rPr>
          <w:szCs w:val="22"/>
        </w:rPr>
        <w:t xml:space="preserve">Sanctions </w:t>
      </w:r>
    </w:p>
    <w:p w14:paraId="04F5B418" w14:textId="77777777" w:rsidR="00E76EB2" w:rsidRDefault="00E76EB2"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p>
    <w:p w14:paraId="013294E9" w14:textId="77777777" w:rsidR="00A932C5" w:rsidRDefault="00E76EB2"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r w:rsidRPr="00E76EB2">
        <w:rPr>
          <w:szCs w:val="22"/>
        </w:rPr>
        <w:t>Failure to comply with IACUC policies may result in noncompliance reports to the Institutional Official, the Office of Laboratory Animal Welfare (OLAW), the U.S. Department of Agriculture (USDA), and/or the suspension of animal use privileges.</w:t>
      </w:r>
      <w:r w:rsidR="00A932C5">
        <w:rPr>
          <w:szCs w:val="22"/>
        </w:rPr>
        <w:t xml:space="preserve"> All individuals who are non-compliant will be reported to the IIT Animal Care Institutional Official and the Vice Provost for Research.</w:t>
      </w:r>
    </w:p>
    <w:p w14:paraId="41EE63DF" w14:textId="77777777" w:rsidR="00A932C5" w:rsidRDefault="00A932C5"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p>
    <w:p w14:paraId="109F5968" w14:textId="78285945" w:rsidR="00E76EB2" w:rsidRDefault="00E76EB2"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r w:rsidRPr="00E76EB2">
        <w:rPr>
          <w:szCs w:val="22"/>
        </w:rPr>
        <w:t>In addition, the availability of sponsored research funds</w:t>
      </w:r>
      <w:r w:rsidR="00A932C5">
        <w:rPr>
          <w:szCs w:val="22"/>
        </w:rPr>
        <w:t>, regardless of funding type,</w:t>
      </w:r>
      <w:r w:rsidRPr="00E76EB2">
        <w:rPr>
          <w:szCs w:val="22"/>
        </w:rPr>
        <w:t xml:space="preserve"> may be affected when an Investigator is found to be in violation of these policies.</w:t>
      </w:r>
    </w:p>
    <w:p w14:paraId="7E4A6B26" w14:textId="70FECEE7" w:rsidR="00365E59" w:rsidRDefault="00573D8C"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r>
        <w:rPr>
          <w:szCs w:val="22"/>
        </w:rPr>
        <w:t>==============================================================</w:t>
      </w:r>
    </w:p>
    <w:p w14:paraId="3232E441" w14:textId="089CFE49" w:rsidR="008C6DF4" w:rsidRDefault="008C6DF4"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r>
        <w:rPr>
          <w:szCs w:val="22"/>
        </w:rPr>
        <w:t>Rodents</w:t>
      </w:r>
    </w:p>
    <w:p w14:paraId="059CC490" w14:textId="77777777" w:rsidR="00AF168D" w:rsidRDefault="00AF168D"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p>
    <w:p w14:paraId="768764B9" w14:textId="46A7AECC" w:rsidR="008C6DF4" w:rsidRDefault="008C6DF4"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r>
        <w:rPr>
          <w:szCs w:val="22"/>
        </w:rPr>
        <w:t>Jackson Labs</w:t>
      </w:r>
      <w:r w:rsidR="00AF168D">
        <w:rPr>
          <w:szCs w:val="22"/>
        </w:rPr>
        <w:t>, t</w:t>
      </w:r>
      <w:r w:rsidR="00365E59">
        <w:rPr>
          <w:szCs w:val="22"/>
        </w:rPr>
        <w:t xml:space="preserve">he </w:t>
      </w:r>
      <w:r>
        <w:rPr>
          <w:szCs w:val="22"/>
        </w:rPr>
        <w:t>most common</w:t>
      </w:r>
      <w:r w:rsidR="00CC5882">
        <w:rPr>
          <w:szCs w:val="22"/>
        </w:rPr>
        <w:t>ly used</w:t>
      </w:r>
      <w:r>
        <w:rPr>
          <w:szCs w:val="22"/>
        </w:rPr>
        <w:t xml:space="preserve"> source of laboratory mice</w:t>
      </w:r>
      <w:r w:rsidR="00CD18EC">
        <w:rPr>
          <w:szCs w:val="22"/>
        </w:rPr>
        <w:t xml:space="preserve">. </w:t>
      </w:r>
      <w:r w:rsidR="0083223E">
        <w:rPr>
          <w:szCs w:val="22"/>
        </w:rPr>
        <w:t xml:space="preserve"> </w:t>
      </w:r>
    </w:p>
    <w:p w14:paraId="03BEA559" w14:textId="77777777" w:rsidR="0085254C" w:rsidRDefault="0085254C"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p>
    <w:p w14:paraId="79FDDC51" w14:textId="2D0EFA15" w:rsidR="008C6DF4" w:rsidRDefault="008C6DF4"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r>
        <w:rPr>
          <w:szCs w:val="22"/>
        </w:rPr>
        <w:t>Charles River, the most common</w:t>
      </w:r>
      <w:r w:rsidR="00CC5882">
        <w:rPr>
          <w:szCs w:val="22"/>
        </w:rPr>
        <w:t>ly used</w:t>
      </w:r>
      <w:r>
        <w:rPr>
          <w:szCs w:val="22"/>
        </w:rPr>
        <w:t xml:space="preserve"> source of laboratory rats</w:t>
      </w:r>
      <w:r w:rsidR="008A609C">
        <w:rPr>
          <w:szCs w:val="22"/>
        </w:rPr>
        <w:t xml:space="preserve"> </w:t>
      </w:r>
      <w:r w:rsidR="008A609C" w:rsidRPr="008A609C">
        <w:rPr>
          <w:szCs w:val="22"/>
        </w:rPr>
        <w:t>https://www.criver.com</w:t>
      </w:r>
      <w:r w:rsidR="00AF168D">
        <w:rPr>
          <w:szCs w:val="22"/>
        </w:rPr>
        <w:t>.</w:t>
      </w:r>
    </w:p>
    <w:p w14:paraId="6FAA2E15" w14:textId="77777777" w:rsidR="008C6DF4" w:rsidRDefault="008C6DF4"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p>
    <w:p w14:paraId="0EF57BC5" w14:textId="02A912CC" w:rsidR="009D0421" w:rsidRDefault="008C6DF4"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r>
        <w:rPr>
          <w:szCs w:val="22"/>
        </w:rPr>
        <w:t>Zebrafis</w:t>
      </w:r>
      <w:r w:rsidR="009D0421">
        <w:rPr>
          <w:szCs w:val="22"/>
        </w:rPr>
        <w:t>h</w:t>
      </w:r>
    </w:p>
    <w:p w14:paraId="0404ECCC" w14:textId="77777777" w:rsidR="00AF168D" w:rsidRDefault="00AF168D"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p>
    <w:p w14:paraId="7B9FA089" w14:textId="57486271" w:rsidR="00933FA5" w:rsidRDefault="00933FA5"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r w:rsidRPr="00AF168D">
        <w:t>Zebrafish International Resource Center (ZIRC)</w:t>
      </w:r>
      <w:r>
        <w:rPr>
          <w:b/>
          <w:bCs/>
        </w:rPr>
        <w:t xml:space="preserve"> </w:t>
      </w:r>
      <w:r>
        <w:br/>
        <w:t>5274 University of Oregon</w:t>
      </w:r>
      <w:r>
        <w:br/>
        <w:t>Eugene, OR 97403-5274, USA</w:t>
      </w:r>
      <w:r>
        <w:br/>
        <w:t>Phone: 541-346-6028</w:t>
      </w:r>
      <w:r>
        <w:br/>
        <w:t xml:space="preserve">Email: </w:t>
      </w:r>
      <w:hyperlink r:id="rId13" w:history="1">
        <w:r>
          <w:rPr>
            <w:rStyle w:val="Hyperlink"/>
            <w:rFonts w:eastAsiaTheme="majorEastAsia"/>
          </w:rPr>
          <w:t>zirc@zebrafish.org</w:t>
        </w:r>
      </w:hyperlink>
      <w:r>
        <w:br/>
        <w:t>Web: http://zebrafish.org</w:t>
      </w:r>
    </w:p>
    <w:p w14:paraId="39156AA9" w14:textId="1AFA152D" w:rsidR="008C6DF4" w:rsidRPr="00C82F26" w:rsidRDefault="008C6DF4" w:rsidP="00D828EC">
      <w:pPr>
        <w:tabs>
          <w:tab w:val="left" w:pos="-1080"/>
          <w:tab w:val="left" w:pos="-720"/>
          <w:tab w:val="left" w:pos="0"/>
          <w:tab w:val="left" w:pos="432"/>
          <w:tab w:val="left" w:pos="864"/>
          <w:tab w:val="left" w:pos="2520"/>
          <w:tab w:val="left" w:pos="3427"/>
          <w:tab w:val="left" w:pos="8640"/>
          <w:tab w:val="left" w:pos="8820"/>
          <w:tab w:val="left" w:pos="9360"/>
        </w:tabs>
        <w:rPr>
          <w:szCs w:val="22"/>
        </w:rPr>
      </w:pPr>
    </w:p>
    <w:sectPr w:rsidR="008C6DF4" w:rsidRPr="00C82F26" w:rsidSect="00C82F26">
      <w:headerReference w:type="even" r:id="rId14"/>
      <w:headerReference w:type="default" r:id="rId15"/>
      <w:footerReference w:type="even" r:id="rId16"/>
      <w:footerReference w:type="default" r:id="rId17"/>
      <w:headerReference w:type="first" r:id="rId18"/>
      <w:footerReference w:type="first" r:id="rId19"/>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28D66" w14:textId="77777777" w:rsidR="00FD6430" w:rsidRDefault="00FD6430">
      <w:r>
        <w:separator/>
      </w:r>
    </w:p>
  </w:endnote>
  <w:endnote w:type="continuationSeparator" w:id="0">
    <w:p w14:paraId="2A684145" w14:textId="77777777" w:rsidR="00FD6430" w:rsidRDefault="00FD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C8D9" w14:textId="77777777" w:rsidR="00124608" w:rsidRDefault="00124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0959B" w14:textId="77777777" w:rsidR="00124608" w:rsidRDefault="00124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E8E6D" w14:textId="77777777" w:rsidR="00124608" w:rsidRDefault="00124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05BBB" w14:textId="77777777" w:rsidR="00FD6430" w:rsidRDefault="00FD6430">
      <w:r>
        <w:separator/>
      </w:r>
    </w:p>
  </w:footnote>
  <w:footnote w:type="continuationSeparator" w:id="0">
    <w:p w14:paraId="32172458" w14:textId="77777777" w:rsidR="00FD6430" w:rsidRDefault="00FD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FCB6" w14:textId="77777777" w:rsidR="00124608" w:rsidRDefault="00124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03603" w14:textId="69C1C48F" w:rsidR="00124608" w:rsidRDefault="00124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F317" w14:textId="77777777" w:rsidR="00124608" w:rsidRDefault="00124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4ACD"/>
    <w:multiLevelType w:val="hybridMultilevel"/>
    <w:tmpl w:val="B03A229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C2CE4"/>
    <w:multiLevelType w:val="hybridMultilevel"/>
    <w:tmpl w:val="BC300D3C"/>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E3A60"/>
    <w:multiLevelType w:val="hybridMultilevel"/>
    <w:tmpl w:val="4BD24D1E"/>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E1B0F"/>
    <w:multiLevelType w:val="hybridMultilevel"/>
    <w:tmpl w:val="96CEE33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DCF0B11"/>
    <w:multiLevelType w:val="hybridMultilevel"/>
    <w:tmpl w:val="9154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14ECA"/>
    <w:multiLevelType w:val="hybridMultilevel"/>
    <w:tmpl w:val="B5C01F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5C15998"/>
    <w:multiLevelType w:val="hybridMultilevel"/>
    <w:tmpl w:val="D86EB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5308F"/>
    <w:multiLevelType w:val="hybridMultilevel"/>
    <w:tmpl w:val="762E43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3657B"/>
    <w:multiLevelType w:val="hybridMultilevel"/>
    <w:tmpl w:val="C0D8BBD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D7419"/>
    <w:multiLevelType w:val="hybridMultilevel"/>
    <w:tmpl w:val="651EB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A7473"/>
    <w:multiLevelType w:val="hybridMultilevel"/>
    <w:tmpl w:val="7BFE4B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4A62C3"/>
    <w:multiLevelType w:val="hybridMultilevel"/>
    <w:tmpl w:val="624678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548CB"/>
    <w:multiLevelType w:val="hybridMultilevel"/>
    <w:tmpl w:val="B53EB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D0AD0"/>
    <w:multiLevelType w:val="hybridMultilevel"/>
    <w:tmpl w:val="2B20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24ED1"/>
    <w:multiLevelType w:val="hybridMultilevel"/>
    <w:tmpl w:val="B8482D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7D35E9"/>
    <w:multiLevelType w:val="hybridMultilevel"/>
    <w:tmpl w:val="B62A1D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C50A4A"/>
    <w:multiLevelType w:val="hybridMultilevel"/>
    <w:tmpl w:val="C8D66F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94F93"/>
    <w:multiLevelType w:val="hybridMultilevel"/>
    <w:tmpl w:val="F2B479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91128"/>
    <w:multiLevelType w:val="hybridMultilevel"/>
    <w:tmpl w:val="9F32B0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053FF"/>
    <w:multiLevelType w:val="hybridMultilevel"/>
    <w:tmpl w:val="C944B866"/>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6D26FC"/>
    <w:multiLevelType w:val="hybridMultilevel"/>
    <w:tmpl w:val="B8482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800103">
    <w:abstractNumId w:val="20"/>
  </w:num>
  <w:num w:numId="2" w16cid:durableId="161244749">
    <w:abstractNumId w:val="13"/>
  </w:num>
  <w:num w:numId="3" w16cid:durableId="73750664">
    <w:abstractNumId w:val="4"/>
  </w:num>
  <w:num w:numId="4" w16cid:durableId="265894157">
    <w:abstractNumId w:val="5"/>
  </w:num>
  <w:num w:numId="5" w16cid:durableId="623341558">
    <w:abstractNumId w:val="14"/>
  </w:num>
  <w:num w:numId="6" w16cid:durableId="1376811726">
    <w:abstractNumId w:val="7"/>
  </w:num>
  <w:num w:numId="7" w16cid:durableId="1145468460">
    <w:abstractNumId w:val="9"/>
  </w:num>
  <w:num w:numId="8" w16cid:durableId="1449005101">
    <w:abstractNumId w:val="6"/>
  </w:num>
  <w:num w:numId="9" w16cid:durableId="868493459">
    <w:abstractNumId w:val="12"/>
  </w:num>
  <w:num w:numId="10" w16cid:durableId="868834741">
    <w:abstractNumId w:val="8"/>
  </w:num>
  <w:num w:numId="11" w16cid:durableId="816994198">
    <w:abstractNumId w:val="19"/>
  </w:num>
  <w:num w:numId="12" w16cid:durableId="1468817686">
    <w:abstractNumId w:val="15"/>
  </w:num>
  <w:num w:numId="13" w16cid:durableId="15544444">
    <w:abstractNumId w:val="10"/>
  </w:num>
  <w:num w:numId="14" w16cid:durableId="1637565831">
    <w:abstractNumId w:val="0"/>
  </w:num>
  <w:num w:numId="15" w16cid:durableId="1270087955">
    <w:abstractNumId w:val="18"/>
  </w:num>
  <w:num w:numId="16" w16cid:durableId="1248467124">
    <w:abstractNumId w:val="16"/>
  </w:num>
  <w:num w:numId="17" w16cid:durableId="1145510293">
    <w:abstractNumId w:val="2"/>
  </w:num>
  <w:num w:numId="18" w16cid:durableId="1635985789">
    <w:abstractNumId w:val="17"/>
  </w:num>
  <w:num w:numId="19" w16cid:durableId="1024597272">
    <w:abstractNumId w:val="11"/>
  </w:num>
  <w:num w:numId="20" w16cid:durableId="415327125">
    <w:abstractNumId w:val="1"/>
  </w:num>
  <w:num w:numId="21" w16cid:durableId="1041973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96"/>
    <w:rsid w:val="000035CB"/>
    <w:rsid w:val="00035CDC"/>
    <w:rsid w:val="000901D7"/>
    <w:rsid w:val="000C038B"/>
    <w:rsid w:val="000E4AE6"/>
    <w:rsid w:val="000F33D0"/>
    <w:rsid w:val="00124608"/>
    <w:rsid w:val="00142C9C"/>
    <w:rsid w:val="00151054"/>
    <w:rsid w:val="00172495"/>
    <w:rsid w:val="0018448A"/>
    <w:rsid w:val="001C773C"/>
    <w:rsid w:val="001E559C"/>
    <w:rsid w:val="001F2AFE"/>
    <w:rsid w:val="001F4C5B"/>
    <w:rsid w:val="0026241A"/>
    <w:rsid w:val="002B64A6"/>
    <w:rsid w:val="00316D1C"/>
    <w:rsid w:val="0036260B"/>
    <w:rsid w:val="00365E59"/>
    <w:rsid w:val="003661C3"/>
    <w:rsid w:val="00380D3E"/>
    <w:rsid w:val="0038466C"/>
    <w:rsid w:val="004043F2"/>
    <w:rsid w:val="00424D85"/>
    <w:rsid w:val="004553B8"/>
    <w:rsid w:val="004A11F1"/>
    <w:rsid w:val="004A26A2"/>
    <w:rsid w:val="0051529F"/>
    <w:rsid w:val="005365AD"/>
    <w:rsid w:val="0056579D"/>
    <w:rsid w:val="00573D8C"/>
    <w:rsid w:val="005A0F89"/>
    <w:rsid w:val="005E3A6E"/>
    <w:rsid w:val="005F193F"/>
    <w:rsid w:val="0063288C"/>
    <w:rsid w:val="00654963"/>
    <w:rsid w:val="00674BE3"/>
    <w:rsid w:val="00682ADE"/>
    <w:rsid w:val="006E66CF"/>
    <w:rsid w:val="007533B6"/>
    <w:rsid w:val="007B48A9"/>
    <w:rsid w:val="0083223E"/>
    <w:rsid w:val="0085254C"/>
    <w:rsid w:val="008563B5"/>
    <w:rsid w:val="008722A1"/>
    <w:rsid w:val="008A609C"/>
    <w:rsid w:val="008C6DF4"/>
    <w:rsid w:val="008F331C"/>
    <w:rsid w:val="009152CC"/>
    <w:rsid w:val="0091766A"/>
    <w:rsid w:val="00921B0C"/>
    <w:rsid w:val="00923D2B"/>
    <w:rsid w:val="00933FA5"/>
    <w:rsid w:val="00967AE2"/>
    <w:rsid w:val="009D0421"/>
    <w:rsid w:val="009F7D08"/>
    <w:rsid w:val="00A377E7"/>
    <w:rsid w:val="00A90346"/>
    <w:rsid w:val="00A932C5"/>
    <w:rsid w:val="00AA09FF"/>
    <w:rsid w:val="00AF168D"/>
    <w:rsid w:val="00AF5832"/>
    <w:rsid w:val="00B10683"/>
    <w:rsid w:val="00B14D38"/>
    <w:rsid w:val="00B27A74"/>
    <w:rsid w:val="00B308D6"/>
    <w:rsid w:val="00B341AE"/>
    <w:rsid w:val="00BC0296"/>
    <w:rsid w:val="00C13AAD"/>
    <w:rsid w:val="00C25026"/>
    <w:rsid w:val="00C80157"/>
    <w:rsid w:val="00C82F26"/>
    <w:rsid w:val="00CA479C"/>
    <w:rsid w:val="00CB0D1C"/>
    <w:rsid w:val="00CC5882"/>
    <w:rsid w:val="00CD18EC"/>
    <w:rsid w:val="00CE3428"/>
    <w:rsid w:val="00D5074A"/>
    <w:rsid w:val="00D71543"/>
    <w:rsid w:val="00D828EC"/>
    <w:rsid w:val="00DC79DA"/>
    <w:rsid w:val="00E02AD9"/>
    <w:rsid w:val="00E15061"/>
    <w:rsid w:val="00E5143C"/>
    <w:rsid w:val="00E76EB2"/>
    <w:rsid w:val="00F24EF9"/>
    <w:rsid w:val="00F32232"/>
    <w:rsid w:val="00FD5FB6"/>
    <w:rsid w:val="00FD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46033"/>
  <w15:chartTrackingRefBased/>
  <w15:docId w15:val="{A58421E6-332D-47D1-A48E-B6540356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F2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C0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2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2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2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2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2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2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2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2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2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2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2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2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296"/>
    <w:rPr>
      <w:rFonts w:eastAsiaTheme="majorEastAsia" w:cstheme="majorBidi"/>
      <w:color w:val="272727" w:themeColor="text1" w:themeTint="D8"/>
    </w:rPr>
  </w:style>
  <w:style w:type="paragraph" w:styleId="Title">
    <w:name w:val="Title"/>
    <w:basedOn w:val="Normal"/>
    <w:next w:val="Normal"/>
    <w:link w:val="TitleChar"/>
    <w:uiPriority w:val="10"/>
    <w:qFormat/>
    <w:rsid w:val="00BC02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296"/>
    <w:pPr>
      <w:spacing w:before="160"/>
      <w:jc w:val="center"/>
    </w:pPr>
    <w:rPr>
      <w:i/>
      <w:iCs/>
      <w:color w:val="404040" w:themeColor="text1" w:themeTint="BF"/>
    </w:rPr>
  </w:style>
  <w:style w:type="character" w:customStyle="1" w:styleId="QuoteChar">
    <w:name w:val="Quote Char"/>
    <w:basedOn w:val="DefaultParagraphFont"/>
    <w:link w:val="Quote"/>
    <w:uiPriority w:val="29"/>
    <w:rsid w:val="00BC0296"/>
    <w:rPr>
      <w:i/>
      <w:iCs/>
      <w:color w:val="404040" w:themeColor="text1" w:themeTint="BF"/>
    </w:rPr>
  </w:style>
  <w:style w:type="paragraph" w:styleId="ListParagraph">
    <w:name w:val="List Paragraph"/>
    <w:basedOn w:val="Normal"/>
    <w:uiPriority w:val="34"/>
    <w:qFormat/>
    <w:rsid w:val="00BC0296"/>
    <w:pPr>
      <w:ind w:left="720"/>
      <w:contextualSpacing/>
    </w:pPr>
  </w:style>
  <w:style w:type="character" w:styleId="IntenseEmphasis">
    <w:name w:val="Intense Emphasis"/>
    <w:basedOn w:val="DefaultParagraphFont"/>
    <w:uiPriority w:val="21"/>
    <w:qFormat/>
    <w:rsid w:val="00BC0296"/>
    <w:rPr>
      <w:i/>
      <w:iCs/>
      <w:color w:val="0F4761" w:themeColor="accent1" w:themeShade="BF"/>
    </w:rPr>
  </w:style>
  <w:style w:type="paragraph" w:styleId="IntenseQuote">
    <w:name w:val="Intense Quote"/>
    <w:basedOn w:val="Normal"/>
    <w:next w:val="Normal"/>
    <w:link w:val="IntenseQuoteChar"/>
    <w:uiPriority w:val="30"/>
    <w:qFormat/>
    <w:rsid w:val="00BC0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296"/>
    <w:rPr>
      <w:i/>
      <w:iCs/>
      <w:color w:val="0F4761" w:themeColor="accent1" w:themeShade="BF"/>
    </w:rPr>
  </w:style>
  <w:style w:type="character" w:styleId="IntenseReference">
    <w:name w:val="Intense Reference"/>
    <w:basedOn w:val="DefaultParagraphFont"/>
    <w:uiPriority w:val="32"/>
    <w:qFormat/>
    <w:rsid w:val="00BC0296"/>
    <w:rPr>
      <w:b/>
      <w:bCs/>
      <w:smallCaps/>
      <w:color w:val="0F4761" w:themeColor="accent1" w:themeShade="BF"/>
      <w:spacing w:val="5"/>
    </w:rPr>
  </w:style>
  <w:style w:type="paragraph" w:styleId="Header">
    <w:name w:val="header"/>
    <w:basedOn w:val="Normal"/>
    <w:link w:val="HeaderChar"/>
    <w:rsid w:val="00C82F26"/>
    <w:pPr>
      <w:tabs>
        <w:tab w:val="center" w:pos="4680"/>
        <w:tab w:val="right" w:pos="9360"/>
      </w:tabs>
    </w:pPr>
  </w:style>
  <w:style w:type="character" w:customStyle="1" w:styleId="HeaderChar">
    <w:name w:val="Header Char"/>
    <w:basedOn w:val="DefaultParagraphFont"/>
    <w:link w:val="Header"/>
    <w:rsid w:val="00C82F26"/>
    <w:rPr>
      <w:rFonts w:ascii="Times New Roman" w:eastAsia="Times New Roman" w:hAnsi="Times New Roman" w:cs="Times New Roman"/>
      <w:kern w:val="0"/>
      <w14:ligatures w14:val="none"/>
    </w:rPr>
  </w:style>
  <w:style w:type="paragraph" w:styleId="Footer">
    <w:name w:val="footer"/>
    <w:basedOn w:val="Normal"/>
    <w:link w:val="FooterChar"/>
    <w:rsid w:val="00C82F26"/>
    <w:pPr>
      <w:tabs>
        <w:tab w:val="center" w:pos="4680"/>
        <w:tab w:val="right" w:pos="9360"/>
      </w:tabs>
    </w:pPr>
  </w:style>
  <w:style w:type="character" w:customStyle="1" w:styleId="FooterChar">
    <w:name w:val="Footer Char"/>
    <w:basedOn w:val="DefaultParagraphFont"/>
    <w:link w:val="Footer"/>
    <w:rsid w:val="00C82F26"/>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76EB2"/>
    <w:rPr>
      <w:color w:val="467886" w:themeColor="hyperlink"/>
      <w:u w:val="single"/>
    </w:rPr>
  </w:style>
  <w:style w:type="character" w:styleId="UnresolvedMention">
    <w:name w:val="Unresolved Mention"/>
    <w:basedOn w:val="DefaultParagraphFont"/>
    <w:uiPriority w:val="99"/>
    <w:semiHidden/>
    <w:unhideWhenUsed/>
    <w:rsid w:val="00E76EB2"/>
    <w:rPr>
      <w:color w:val="605E5C"/>
      <w:shd w:val="clear" w:color="auto" w:fill="E1DFDD"/>
    </w:rPr>
  </w:style>
  <w:style w:type="character" w:styleId="CommentReference">
    <w:name w:val="annotation reference"/>
    <w:basedOn w:val="DefaultParagraphFont"/>
    <w:uiPriority w:val="99"/>
    <w:semiHidden/>
    <w:unhideWhenUsed/>
    <w:rsid w:val="00CB0D1C"/>
    <w:rPr>
      <w:sz w:val="16"/>
      <w:szCs w:val="16"/>
    </w:rPr>
  </w:style>
  <w:style w:type="paragraph" w:styleId="CommentText">
    <w:name w:val="annotation text"/>
    <w:basedOn w:val="Normal"/>
    <w:link w:val="CommentTextChar"/>
    <w:uiPriority w:val="99"/>
    <w:semiHidden/>
    <w:unhideWhenUsed/>
    <w:rsid w:val="00CB0D1C"/>
    <w:rPr>
      <w:sz w:val="20"/>
      <w:szCs w:val="20"/>
    </w:rPr>
  </w:style>
  <w:style w:type="character" w:customStyle="1" w:styleId="CommentTextChar">
    <w:name w:val="Comment Text Char"/>
    <w:basedOn w:val="DefaultParagraphFont"/>
    <w:link w:val="CommentText"/>
    <w:uiPriority w:val="99"/>
    <w:semiHidden/>
    <w:rsid w:val="00CB0D1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B0D1C"/>
    <w:rPr>
      <w:b/>
      <w:bCs/>
    </w:rPr>
  </w:style>
  <w:style w:type="character" w:customStyle="1" w:styleId="CommentSubjectChar">
    <w:name w:val="Comment Subject Char"/>
    <w:basedOn w:val="CommentTextChar"/>
    <w:link w:val="CommentSubject"/>
    <w:uiPriority w:val="99"/>
    <w:semiHidden/>
    <w:rsid w:val="00CB0D1C"/>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682ADE"/>
    <w:pPr>
      <w:spacing w:after="0" w:line="240" w:lineRule="auto"/>
    </w:pPr>
    <w:rPr>
      <w:rFonts w:ascii="Times New Roman" w:eastAsia="Times New Roman" w:hAnsi="Times New Roman" w:cs="Times New Roman"/>
      <w:kern w:val="0"/>
      <w14:ligatures w14:val="none"/>
    </w:rPr>
  </w:style>
  <w:style w:type="character" w:customStyle="1" w:styleId="Style00">
    <w:name w:val="Style00"/>
    <w:basedOn w:val="DefaultParagraphFont"/>
    <w:uiPriority w:val="1"/>
    <w:qFormat/>
    <w:rsid w:val="004A26A2"/>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68449">
      <w:bodyDiv w:val="1"/>
      <w:marLeft w:val="0"/>
      <w:marRight w:val="0"/>
      <w:marTop w:val="0"/>
      <w:marBottom w:val="0"/>
      <w:divBdr>
        <w:top w:val="none" w:sz="0" w:space="0" w:color="auto"/>
        <w:left w:val="none" w:sz="0" w:space="0" w:color="auto"/>
        <w:bottom w:val="none" w:sz="0" w:space="0" w:color="auto"/>
        <w:right w:val="none" w:sz="0" w:space="0" w:color="auto"/>
      </w:divBdr>
    </w:div>
    <w:div w:id="163151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olaw/guide-for-the-care-and-use-of-laboratory-animals.pdf" TargetMode="External"/><Relationship Id="rId13" Type="http://schemas.openxmlformats.org/officeDocument/2006/relationships/hyperlink" Target="https://zebrafish.org/home/contact.php?r=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grants.nih.gov/grants/olaw/guide-for-the-care-and-use-of-laboratory-animals.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master.iit.edu/files/orcpd/IACUC-MOU-Template-for-Incoming-animals-from-collaborating-institutions-Approved.doc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ktuz@iilinoistech.ed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iacuc@illinoistech.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Nonna Working</dc:creator>
  <cp:keywords/>
  <dc:description/>
  <cp:lastModifiedBy>Nonna Working</cp:lastModifiedBy>
  <cp:revision>5</cp:revision>
  <dcterms:created xsi:type="dcterms:W3CDTF">2025-07-01T20:31:00Z</dcterms:created>
  <dcterms:modified xsi:type="dcterms:W3CDTF">2025-07-09T21:14:00Z</dcterms:modified>
</cp:coreProperties>
</file>